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DB" w:rsidRPr="00C90BDB" w:rsidRDefault="005A7CD5" w:rsidP="00C90BDB">
      <w:pPr>
        <w:jc w:val="center"/>
        <w:rPr>
          <w:b/>
        </w:rPr>
      </w:pPr>
      <w:r>
        <w:rPr>
          <w:b/>
        </w:rPr>
        <w:t>PHILIPPA FAWCETT COLLECTION</w:t>
      </w:r>
    </w:p>
    <w:p w:rsidR="00C90BDB" w:rsidRPr="005A7CD5" w:rsidRDefault="005A7CD5" w:rsidP="005A7CD5">
      <w:pPr>
        <w:jc w:val="center"/>
        <w:rPr>
          <w:b/>
        </w:rPr>
      </w:pPr>
      <w:r w:rsidRPr="005A7CD5">
        <w:rPr>
          <w:b/>
        </w:rPr>
        <w:t>EXPLANATION</w:t>
      </w:r>
      <w:r>
        <w:rPr>
          <w:b/>
        </w:rPr>
        <w:t xml:space="preserve"> OF CATEGORIES AND CODES IN CATALOGUE</w:t>
      </w:r>
    </w:p>
    <w:p w:rsidR="00C90BDB" w:rsidRDefault="00CE26C0">
      <w:r>
        <w:t>T</w:t>
      </w:r>
      <w:r w:rsidR="005A7CD5">
        <w:t>he structure of the</w:t>
      </w:r>
      <w:r>
        <w:t xml:space="preserve"> Catalogue is intended to emphasize women and their</w:t>
      </w:r>
      <w:r w:rsidR="007F5D18">
        <w:t xml:space="preserve"> mathematical</w:t>
      </w:r>
      <w:r>
        <w:t xml:space="preserve"> work.  Category I contains Primary Sources </w:t>
      </w:r>
      <w:r>
        <w:rPr>
          <w:rFonts w:hint="cs"/>
        </w:rPr>
        <w:t>–</w:t>
      </w:r>
      <w:r>
        <w:t xml:space="preserve"> work written by </w:t>
      </w:r>
      <w:r w:rsidR="007F5D18">
        <w:t>a</w:t>
      </w:r>
      <w:r>
        <w:t xml:space="preserve"> particular</w:t>
      </w:r>
      <w:r w:rsidR="007F5D18">
        <w:t xml:space="preserve"> named</w:t>
      </w:r>
      <w:r>
        <w:t xml:space="preserve"> woman, who will probably have been born in or before the early 1920s.  Category II </w:t>
      </w:r>
      <w:bookmarkStart w:id="0" w:name="_GoBack"/>
      <w:bookmarkEnd w:id="0"/>
      <w:r>
        <w:t xml:space="preserve">consists of Secondary Sources, </w:t>
      </w:r>
      <w:r w:rsidR="007F5D18">
        <w:t>including</w:t>
      </w:r>
      <w:r>
        <w:t xml:space="preserve"> books written about those women, either by men, or by women born more recently.  The Tertiary Category III is reserved for later works</w:t>
      </w:r>
      <w:r w:rsidR="00DF3BE7">
        <w:t xml:space="preserve"> which have been donated, probably to celebrate exceptional achievements.</w:t>
      </w:r>
    </w:p>
    <w:p w:rsidR="00DF3BE7" w:rsidRDefault="00DF3BE7">
      <w:r>
        <w:t xml:space="preserve">The Codes are intended to help researchers by indicating broad groupings within each Category: </w:t>
      </w:r>
      <w:r w:rsidR="00D52E5C">
        <w:t>they have been described</w:t>
      </w:r>
      <w:r>
        <w:t xml:space="preserve"> in the Table below.</w:t>
      </w:r>
    </w:p>
    <w:p w:rsidR="00DF3BE7" w:rsidRDefault="00DF3BE7">
      <w:r>
        <w:t>Category I</w:t>
      </w:r>
      <w:r w:rsidR="00D52E5C">
        <w:t>I has not yet been scrutinised as closely as Category I, and there are occasional omissions of information.  Please let us know if you find any serious errors.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0"/>
        <w:gridCol w:w="781"/>
        <w:gridCol w:w="2503"/>
        <w:gridCol w:w="4991"/>
      </w:tblGrid>
      <w:tr w:rsidR="008C267C" w:rsidRPr="00F2374F" w:rsidTr="00311761">
        <w:trPr>
          <w:trHeight w:val="426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CATEGORY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1" w:name="RANGE!A1:D15"/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CODE</w:t>
            </w:r>
            <w:bookmarkEnd w:id="1"/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DESCRIPTION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DETAILS</w:t>
            </w:r>
          </w:p>
        </w:tc>
      </w:tr>
      <w:tr w:rsidR="00970B5A" w:rsidRPr="00F2374F" w:rsidTr="00311761">
        <w:trPr>
          <w:trHeight w:val="430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970B5A" w:rsidRPr="00F2374F" w:rsidRDefault="00970B5A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PRIMARY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B5A" w:rsidRPr="00F2374F" w:rsidRDefault="00970B5A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B5A" w:rsidRPr="00F2374F" w:rsidRDefault="00970B5A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B5A" w:rsidRPr="00F2374F" w:rsidRDefault="00970B5A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Collected Works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Rare (women seldom produced sufficient work to justify this)</w:t>
            </w: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History of mathematics or nearby topic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Female specialist author</w:t>
            </w: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Original work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DF0E0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Female author: on any mathematical subject, constituting </w:t>
            </w:r>
            <w:r w:rsidR="00DF0E0C"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some</w:t>
            </w:r>
            <w:r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contribution to knowledge</w:t>
            </w: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Popular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Female author: includes books for children</w:t>
            </w:r>
          </w:p>
        </w:tc>
      </w:tr>
      <w:tr w:rsidR="00970B5A" w:rsidRPr="00F2374F" w:rsidTr="00311761">
        <w:trPr>
          <w:trHeight w:val="454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970B5A" w:rsidRPr="00F2374F" w:rsidRDefault="00970B5A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SECONDARY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B5A" w:rsidRPr="00F2374F" w:rsidRDefault="00970B5A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B5A" w:rsidRPr="00F2374F" w:rsidRDefault="00970B5A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B5A" w:rsidRPr="00F2374F" w:rsidRDefault="00970B5A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Autobiography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Purely biographical, written by the female mathematician personally</w:t>
            </w: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Biography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F2374F" w:rsidP="00F237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One</w:t>
            </w:r>
            <w:r w:rsidR="008C267C"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woman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subject</w:t>
            </w:r>
            <w:r w:rsidR="008C267C"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, any author</w:t>
            </w:r>
          </w:p>
        </w:tc>
      </w:tr>
      <w:tr w:rsidR="003C2DEA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3C2DEA" w:rsidRPr="00F2374F" w:rsidRDefault="003C2DEA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EA" w:rsidRPr="00F2374F" w:rsidRDefault="003C2DEA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B-W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EA" w:rsidRPr="00F2374F" w:rsidRDefault="005F5A3B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Biography, work-related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EA" w:rsidRPr="00F2374F" w:rsidRDefault="005F5A3B" w:rsidP="005F5A3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When the assessment of the woman's work takes precedence</w:t>
            </w: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Group biography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F2374F" w:rsidP="00F237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Several</w:t>
            </w:r>
            <w:r w:rsidR="008C267C"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wom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e</w:t>
            </w:r>
            <w:r w:rsidR="008C267C"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n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as subjects</w:t>
            </w:r>
            <w:r w:rsidR="008C267C"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, any author</w:t>
            </w:r>
          </w:p>
        </w:tc>
      </w:tr>
      <w:tr w:rsidR="008C267C" w:rsidRPr="00F2374F" w:rsidTr="00311761">
        <w:trPr>
          <w:trHeight w:val="933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DF0E0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</w:t>
            </w:r>
            <w:r w:rsidR="00DF0E0C"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– anything that cannot be classified elsewhere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DF0E0C" w:rsidP="00703D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E.g.  </w:t>
            </w:r>
            <w:r w:rsidR="008C267C"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Women employed as expert translators for mathematics done by men</w:t>
            </w:r>
            <w:r w:rsidR="00703DB3"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; or, synthesis of woman's work into general account of topic</w:t>
            </w: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Reference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Factual</w:t>
            </w:r>
          </w:p>
        </w:tc>
      </w:tr>
      <w:tr w:rsidR="008C267C" w:rsidRPr="00F2374F" w:rsidTr="00311761">
        <w:trPr>
          <w:trHeight w:val="97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Social background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With particular reference to the conditions that made it almost impossible for women to learn mathematics</w:t>
            </w: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Universities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Institutions providing education in mathematics for women, and history of all-women colleges</w:t>
            </w: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8C267C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II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UR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University Registers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Registers for all-women colleges – they contain useful biographical information</w:t>
            </w:r>
          </w:p>
        </w:tc>
      </w:tr>
      <w:tr w:rsidR="008C267C" w:rsidRPr="00F2374F" w:rsidTr="00311761">
        <w:trPr>
          <w:trHeight w:val="801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8C267C" w:rsidRPr="00F2374F" w:rsidRDefault="00F96D53" w:rsidP="006F6A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TERTIARY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C025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F96D53" w:rsidP="00FB195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As donated,</w:t>
            </w:r>
            <w:r w:rsidR="001A51E2"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r</w:t>
            </w:r>
            <w:r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elating </w:t>
            </w:r>
            <w:r w:rsidR="001A51E2"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to </w:t>
            </w:r>
            <w:r w:rsidR="00FB1954"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exceptional</w:t>
            </w:r>
            <w:r w:rsidR="003C2DEA" w:rsidRPr="00F2374F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work of more recent women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7C" w:rsidRPr="00F2374F" w:rsidRDefault="008C267C" w:rsidP="003C2D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Because Collection is </w:t>
            </w:r>
            <w:r w:rsidR="003C2DEA" w:rsidRPr="00F2374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intended to be historical</w:t>
            </w:r>
          </w:p>
        </w:tc>
      </w:tr>
    </w:tbl>
    <w:p w:rsidR="006F23B7" w:rsidRDefault="006F23B7"/>
    <w:sectPr w:rsidR="006F23B7" w:rsidSect="00490C43"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RgtwZxIBfbaQP/eReMMK3zEgXtR1C6dHTse5UdTw6p/4k8brgMW4daq8x9c+MrdqBTb2oHOiQ7vbRovpiIhPw==" w:salt="SCYfmv901PI7jleaOMfxzg==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F"/>
    <w:rsid w:val="0001308C"/>
    <w:rsid w:val="000E0819"/>
    <w:rsid w:val="001464FF"/>
    <w:rsid w:val="00166779"/>
    <w:rsid w:val="001A51E2"/>
    <w:rsid w:val="001C4A3F"/>
    <w:rsid w:val="00311761"/>
    <w:rsid w:val="00375588"/>
    <w:rsid w:val="003C2DEA"/>
    <w:rsid w:val="00490C43"/>
    <w:rsid w:val="004D6BB6"/>
    <w:rsid w:val="005A7CD5"/>
    <w:rsid w:val="005F5A3B"/>
    <w:rsid w:val="006F23B7"/>
    <w:rsid w:val="00703DB3"/>
    <w:rsid w:val="0079092D"/>
    <w:rsid w:val="007F5D18"/>
    <w:rsid w:val="008C267C"/>
    <w:rsid w:val="00970B5A"/>
    <w:rsid w:val="009C42A5"/>
    <w:rsid w:val="00C025D5"/>
    <w:rsid w:val="00C90BDB"/>
    <w:rsid w:val="00CE26C0"/>
    <w:rsid w:val="00D52E5C"/>
    <w:rsid w:val="00D80F78"/>
    <w:rsid w:val="00DF0E0C"/>
    <w:rsid w:val="00DF3BE7"/>
    <w:rsid w:val="00F2374F"/>
    <w:rsid w:val="00F96D53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93C18-758A-4F2A-83AB-BEC01E2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746D-23D9-43F3-BF42-D1F88D19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333</Words>
  <Characters>1902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 davis</dc:creator>
  <cp:keywords/>
  <dc:description/>
  <cp:lastModifiedBy>Elizabeth Fisher</cp:lastModifiedBy>
  <cp:revision>18</cp:revision>
  <dcterms:created xsi:type="dcterms:W3CDTF">2014-11-23T13:39:00Z</dcterms:created>
  <dcterms:modified xsi:type="dcterms:W3CDTF">2014-12-16T08:45:00Z</dcterms:modified>
</cp:coreProperties>
</file>